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851301">
        <w:rPr>
          <w:sz w:val="20"/>
          <w:szCs w:val="20"/>
        </w:rPr>
        <w:t>Week of February 8</w:t>
      </w:r>
      <w:r w:rsidR="00E6781F" w:rsidRPr="003F72F4">
        <w:rPr>
          <w:sz w:val="20"/>
          <w:szCs w:val="20"/>
        </w:rPr>
        <w:t>-</w:t>
      </w:r>
      <w:r w:rsidR="00851301">
        <w:rPr>
          <w:sz w:val="20"/>
          <w:szCs w:val="20"/>
        </w:rPr>
        <w:t>12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43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673" w:type="dxa"/>
          </w:tcPr>
          <w:p w:rsidR="001F6BDF" w:rsidRPr="00F27CB1" w:rsidRDefault="006C71FC" w:rsidP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</w:t>
            </w:r>
            <w:r w:rsidR="008D2B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="00F801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(PBIS Reward Party) Guest Teacher</w:t>
            </w:r>
          </w:p>
        </w:tc>
      </w:tr>
      <w:tr w:rsidR="0080775B" w:rsidRPr="002C04B5" w:rsidTr="003F72F4">
        <w:trPr>
          <w:trHeight w:val="1502"/>
        </w:trPr>
        <w:tc>
          <w:tcPr>
            <w:tcW w:w="1818" w:type="dxa"/>
          </w:tcPr>
          <w:p w:rsidR="0080775B" w:rsidRDefault="0080775B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80775B" w:rsidRPr="002C04B5" w:rsidRDefault="0080775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Reteaching Standard 7.GA.1 scale drawings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solve problems involving scale drawings of geometric figures (7.GA.1) to compute actual lengths and areas at a different scale by word problems.</w:t>
            </w:r>
          </w:p>
        </w:tc>
        <w:tc>
          <w:tcPr>
            <w:tcW w:w="1980" w:type="dxa"/>
          </w:tcPr>
          <w:p w:rsidR="0080775B" w:rsidRPr="002C04B5" w:rsidRDefault="008F344F" w:rsidP="006C71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use knowledge to determine if two </w:t>
            </w:r>
            <w:r w:rsidR="006C71FC">
              <w:rPr>
                <w:color w:val="FF0000"/>
                <w:sz w:val="16"/>
                <w:szCs w:val="16"/>
              </w:rPr>
              <w:t>quantities</w:t>
            </w:r>
            <w:r>
              <w:rPr>
                <w:color w:val="FF0000"/>
                <w:sz w:val="16"/>
                <w:szCs w:val="16"/>
              </w:rPr>
              <w:t xml:space="preserve"> are in a proportional </w:t>
            </w:r>
            <w:r w:rsidR="006C71FC">
              <w:rPr>
                <w:color w:val="FF0000"/>
                <w:sz w:val="16"/>
                <w:szCs w:val="16"/>
              </w:rPr>
              <w:t xml:space="preserve">relationship (7.RP.A.2a) by testing for equivalent ratios in a table or graphing on a coordinate plane and observing whether the graph is a straight line through the origin </w:t>
            </w:r>
            <w:r w:rsidR="0080775B">
              <w:rPr>
                <w:color w:val="FF0000"/>
                <w:sz w:val="16"/>
                <w:szCs w:val="16"/>
              </w:rPr>
              <w:t>by teacher instruction.</w:t>
            </w:r>
          </w:p>
        </w:tc>
        <w:tc>
          <w:tcPr>
            <w:tcW w:w="2160" w:type="dxa"/>
          </w:tcPr>
          <w:p w:rsidR="0080775B" w:rsidRPr="002C04B5" w:rsidRDefault="006C71FC" w:rsidP="009512A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80775B">
              <w:rPr>
                <w:color w:val="FF0000"/>
                <w:sz w:val="16"/>
                <w:szCs w:val="16"/>
              </w:rPr>
              <w:t>teacher guided instruction.</w:t>
            </w:r>
          </w:p>
        </w:tc>
        <w:tc>
          <w:tcPr>
            <w:tcW w:w="2430" w:type="dxa"/>
          </w:tcPr>
          <w:p w:rsidR="0080775B" w:rsidRPr="00E76D6F" w:rsidRDefault="0080775B" w:rsidP="009512A5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  <w:tc>
          <w:tcPr>
            <w:tcW w:w="2673" w:type="dxa"/>
          </w:tcPr>
          <w:p w:rsidR="0080775B" w:rsidRPr="002C04B5" w:rsidRDefault="00851301" w:rsidP="0085130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a</w:t>
            </w:r>
            <w:r w:rsidRPr="00851301">
              <w:rPr>
                <w:color w:val="FF0000"/>
                <w:sz w:val="16"/>
                <w:szCs w:val="16"/>
              </w:rPr>
              <w:t>pply and extend previous understandings of multiplication and division and of fractions to multiply and divide rational numbers</w:t>
            </w:r>
            <w:r>
              <w:rPr>
                <w:color w:val="FF0000"/>
                <w:sz w:val="16"/>
                <w:szCs w:val="16"/>
              </w:rPr>
              <w:t xml:space="preserve"> (7.NS.2) and a</w:t>
            </w:r>
            <w:r w:rsidRPr="00851301">
              <w:rPr>
                <w:color w:val="FF0000"/>
                <w:sz w:val="16"/>
                <w:szCs w:val="16"/>
              </w:rPr>
              <w:t>pply the properties of operations to g</w:t>
            </w:r>
            <w:r>
              <w:rPr>
                <w:color w:val="FF0000"/>
                <w:sz w:val="16"/>
                <w:szCs w:val="16"/>
              </w:rPr>
              <w:t>enerate equivalent expressions (7.EE.3)</w:t>
            </w:r>
            <w:r w:rsidR="00793269">
              <w:rPr>
                <w:color w:val="FF0000"/>
                <w:sz w:val="16"/>
                <w:szCs w:val="16"/>
              </w:rPr>
              <w:t xml:space="preserve"> using a variety of mathematical problems to create</w:t>
            </w:r>
            <w:r>
              <w:rPr>
                <w:color w:val="FF0000"/>
                <w:sz w:val="16"/>
                <w:szCs w:val="16"/>
              </w:rPr>
              <w:t xml:space="preserve"> a Valentine’</w:t>
            </w:r>
            <w:r w:rsidR="00C57544">
              <w:rPr>
                <w:color w:val="FF0000"/>
                <w:sz w:val="16"/>
                <w:szCs w:val="16"/>
              </w:rPr>
              <w:t>s Day Card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80775B" w:rsidRPr="002C04B5" w:rsidTr="002C04B5">
        <w:trPr>
          <w:trHeight w:val="1745"/>
        </w:trPr>
        <w:tc>
          <w:tcPr>
            <w:tcW w:w="1818" w:type="dxa"/>
          </w:tcPr>
          <w:p w:rsidR="0080775B" w:rsidRPr="002C04B5" w:rsidRDefault="0080775B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>to solve problems involving scale drawings of geometric figures (7.GA.1) to compute actual lengths and areas 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 a different scale using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 problems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980" w:type="dxa"/>
          </w:tcPr>
          <w:p w:rsidR="0080775B" w:rsidRPr="002C04B5" w:rsidRDefault="0080775B" w:rsidP="006C71F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="006C71FC"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relationship(7.RP.A.2a) by testing for equivalent ratios in a table or graphing on a coordinate plane and observing whether the graph is a straight line through the origin by teacher instruction.</w:t>
            </w:r>
          </w:p>
        </w:tc>
        <w:tc>
          <w:tcPr>
            <w:tcW w:w="2160" w:type="dxa"/>
          </w:tcPr>
          <w:p w:rsidR="0080775B" w:rsidRPr="002C04B5" w:rsidRDefault="0080775B" w:rsidP="006C71F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</w:t>
            </w:r>
            <w:r w:rsid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knowledge </w:t>
            </w:r>
            <w:r w:rsidR="006C71FC"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 by</w:t>
            </w:r>
            <w:r w:rsid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teacher guided instruction.</w:t>
            </w:r>
          </w:p>
        </w:tc>
        <w:tc>
          <w:tcPr>
            <w:tcW w:w="2430" w:type="dxa"/>
          </w:tcPr>
          <w:p w:rsidR="0080775B" w:rsidRPr="00E76D6F" w:rsidRDefault="0080775B" w:rsidP="009512A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  <w:tc>
          <w:tcPr>
            <w:tcW w:w="2673" w:type="dxa"/>
          </w:tcPr>
          <w:p w:rsidR="0080775B" w:rsidRPr="002C04B5" w:rsidRDefault="00851301" w:rsidP="00793269">
            <w:pPr>
              <w:rPr>
                <w:color w:val="548DD4" w:themeColor="text2" w:themeTint="99"/>
                <w:sz w:val="16"/>
                <w:szCs w:val="16"/>
              </w:rPr>
            </w:pPr>
            <w:r w:rsidRPr="00851301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understanding o</w:t>
            </w:r>
            <w:r w:rsidR="00C57544">
              <w:rPr>
                <w:color w:val="548DD4" w:themeColor="text2" w:themeTint="99"/>
                <w:sz w:val="16"/>
                <w:szCs w:val="16"/>
                <w:u w:val="single"/>
              </w:rPr>
              <w:t>f</w:t>
            </w:r>
            <w:r w:rsidR="00C57544" w:rsidRPr="00C57544">
              <w:rPr>
                <w:color w:val="FF0000"/>
                <w:sz w:val="16"/>
                <w:szCs w:val="16"/>
              </w:rPr>
              <w:t xml:space="preserve"> </w:t>
            </w:r>
            <w:r w:rsidR="00C57544" w:rsidRPr="00C57544">
              <w:rPr>
                <w:color w:val="548DD4" w:themeColor="text2" w:themeTint="99"/>
                <w:sz w:val="16"/>
                <w:szCs w:val="16"/>
                <w:u w:val="single"/>
              </w:rPr>
              <w:t xml:space="preserve">multiplication and division and of fractions to multiply and divide rational numbers (7.NS.2) and apply the properties of operations to generate equivalent expressions (7.EE.3) </w:t>
            </w:r>
            <w:r w:rsidR="00793269" w:rsidRPr="00793269">
              <w:rPr>
                <w:color w:val="548DD4" w:themeColor="text2" w:themeTint="99"/>
                <w:sz w:val="16"/>
                <w:szCs w:val="16"/>
                <w:u w:val="single"/>
              </w:rPr>
              <w:t>using a variety of mathematical problems to create a Valentine’s Day Card.</w:t>
            </w: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80775B" w:rsidRDefault="00C5754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Posttest</w:t>
            </w:r>
            <w:r w:rsidR="0080775B">
              <w:rPr>
                <w:sz w:val="16"/>
                <w:szCs w:val="16"/>
              </w:rPr>
              <w:t xml:space="preserve"> (re</w:t>
            </w:r>
            <w:r>
              <w:rPr>
                <w:sz w:val="16"/>
                <w:szCs w:val="16"/>
              </w:rPr>
              <w:t>-</w:t>
            </w:r>
            <w:r w:rsidR="0080775B">
              <w:rPr>
                <w:sz w:val="16"/>
                <w:szCs w:val="16"/>
              </w:rPr>
              <w:t>teaching standard)</w:t>
            </w:r>
          </w:p>
          <w:p w:rsidR="006C71FC" w:rsidRPr="002C04B5" w:rsidRDefault="006C71FC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7.RP.A.2a pretest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16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430" w:type="dxa"/>
          </w:tcPr>
          <w:p w:rsidR="0080775B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80775B" w:rsidRPr="00E76D6F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4/5 Diagnostic Testing</w:t>
            </w:r>
          </w:p>
        </w:tc>
        <w:tc>
          <w:tcPr>
            <w:tcW w:w="2673" w:type="dxa"/>
          </w:tcPr>
          <w:p w:rsidR="0080775B" w:rsidRPr="002C04B5" w:rsidRDefault="00851301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create a card based on their answers to various math problems</w:t>
            </w: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160" w:type="dxa"/>
          </w:tcPr>
          <w:p w:rsidR="0080775B" w:rsidRPr="002C04B5" w:rsidRDefault="0080775B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673" w:type="dxa"/>
          </w:tcPr>
          <w:p w:rsidR="0080775B" w:rsidRPr="002C04B5" w:rsidRDefault="00A31EC9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independent practice or </w:t>
            </w:r>
            <w:r w:rsidR="0080775B">
              <w:rPr>
                <w:sz w:val="16"/>
                <w:szCs w:val="16"/>
              </w:rPr>
              <w:t>Partner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0775B">
              <w:rPr>
                <w:sz w:val="16"/>
                <w:szCs w:val="16"/>
              </w:rPr>
              <w:t>(Think/Pair/Share)</w:t>
            </w:r>
          </w:p>
        </w:tc>
      </w:tr>
      <w:tr w:rsidR="0080775B" w:rsidRPr="002C04B5" w:rsidTr="002C04B5">
        <w:trPr>
          <w:trHeight w:val="647"/>
        </w:trPr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80775B" w:rsidRPr="002C04B5" w:rsidRDefault="0080775B" w:rsidP="00805558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80775B" w:rsidRPr="002C04B5" w:rsidRDefault="006C71F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160" w:type="dxa"/>
          </w:tcPr>
          <w:p w:rsidR="0080775B" w:rsidRPr="002C04B5" w:rsidRDefault="00C57544" w:rsidP="0028694D">
            <w:pPr>
              <w:rPr>
                <w:sz w:val="16"/>
                <w:szCs w:val="16"/>
              </w:rPr>
            </w:pPr>
            <w:r w:rsidRPr="00C57544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80775B" w:rsidRPr="002C04B5" w:rsidRDefault="0080775B" w:rsidP="00E311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0775B" w:rsidRPr="002C04B5" w:rsidRDefault="00C57544" w:rsidP="00516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equivalent ratios?</w:t>
            </w:r>
          </w:p>
        </w:tc>
        <w:tc>
          <w:tcPr>
            <w:tcW w:w="2160" w:type="dxa"/>
          </w:tcPr>
          <w:p w:rsidR="0080775B" w:rsidRPr="002C04B5" w:rsidRDefault="00C57544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difference between part-to-part </w:t>
            </w:r>
            <w:r>
              <w:rPr>
                <w:sz w:val="16"/>
                <w:szCs w:val="16"/>
              </w:rPr>
              <w:lastRenderedPageBreak/>
              <w:t>and part-to-whole?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None 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3C1E7B"/>
    <w:rsid w:val="003F72F4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10A1-87DA-4B1C-BF02-D335D051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2016-01-09T01:17:00Z</cp:lastPrinted>
  <dcterms:created xsi:type="dcterms:W3CDTF">2016-02-07T22:16:00Z</dcterms:created>
  <dcterms:modified xsi:type="dcterms:W3CDTF">2016-02-07T22:33:00Z</dcterms:modified>
</cp:coreProperties>
</file>