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402BA">
        <w:rPr>
          <w:sz w:val="22"/>
          <w:szCs w:val="22"/>
        </w:rPr>
        <w:t xml:space="preserve">Week of May </w:t>
      </w:r>
      <w:r w:rsidR="0013799A">
        <w:rPr>
          <w:sz w:val="22"/>
          <w:szCs w:val="22"/>
        </w:rPr>
        <w:t>3</w:t>
      </w:r>
      <w:r w:rsidR="007402BA">
        <w:rPr>
          <w:sz w:val="22"/>
          <w:szCs w:val="22"/>
        </w:rPr>
        <w:t>0</w:t>
      </w:r>
      <w:r w:rsidR="0013799A">
        <w:rPr>
          <w:sz w:val="22"/>
          <w:szCs w:val="22"/>
        </w:rPr>
        <w:t>-</w:t>
      </w:r>
      <w:r w:rsidR="007402BA">
        <w:rPr>
          <w:sz w:val="22"/>
          <w:szCs w:val="22"/>
        </w:rPr>
        <w:t>June 3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913E4">
              <w:rPr>
                <w:sz w:val="18"/>
                <w:szCs w:val="18"/>
              </w:rPr>
              <w:t>-</w:t>
            </w:r>
            <w:r w:rsidR="0013799A">
              <w:rPr>
                <w:sz w:val="18"/>
                <w:szCs w:val="18"/>
              </w:rPr>
              <w:t>3</w:t>
            </w:r>
            <w:r w:rsidR="00EC3517">
              <w:rPr>
                <w:sz w:val="18"/>
                <w:szCs w:val="18"/>
              </w:rPr>
              <w:t>0</w:t>
            </w:r>
          </w:p>
        </w:tc>
        <w:tc>
          <w:tcPr>
            <w:tcW w:w="207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="00E913E4">
              <w:rPr>
                <w:sz w:val="18"/>
                <w:szCs w:val="18"/>
              </w:rPr>
              <w:t>-</w:t>
            </w:r>
            <w:r w:rsidR="007402BA">
              <w:rPr>
                <w:sz w:val="18"/>
                <w:szCs w:val="18"/>
              </w:rPr>
              <w:t>31</w:t>
            </w:r>
          </w:p>
        </w:tc>
        <w:tc>
          <w:tcPr>
            <w:tcW w:w="2160" w:type="dxa"/>
          </w:tcPr>
          <w:p w:rsidR="001F6BDF" w:rsidRPr="00F27CB1" w:rsidRDefault="00740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6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1F6BDF" w:rsidRPr="00F27CB1" w:rsidRDefault="00740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6</w:t>
            </w:r>
            <w:r w:rsidR="00E913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93" w:type="dxa"/>
          </w:tcPr>
          <w:p w:rsidR="001F6BDF" w:rsidRPr="00F27CB1" w:rsidRDefault="007402BA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6-3</w:t>
            </w:r>
          </w:p>
        </w:tc>
      </w:tr>
      <w:tr w:rsidR="0013799A" w:rsidRPr="00E76D6F" w:rsidTr="00213CDF">
        <w:trPr>
          <w:trHeight w:val="1322"/>
        </w:trPr>
        <w:tc>
          <w:tcPr>
            <w:tcW w:w="1908" w:type="dxa"/>
          </w:tcPr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Default="0013799A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3799A" w:rsidRPr="00E76D6F" w:rsidRDefault="0013799A" w:rsidP="005F673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3799A" w:rsidRPr="00E76D6F" w:rsidRDefault="0013799A" w:rsidP="008E2A7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determine and compare properties of two functions represented graphically, numerically in tables, or by verbal descriptions (8.FA.2) </w:t>
            </w:r>
            <w:r w:rsidR="008E2A7C">
              <w:rPr>
                <w:color w:val="FF0000"/>
                <w:sz w:val="16"/>
                <w:szCs w:val="16"/>
              </w:rPr>
              <w:t xml:space="preserve">to determine the growth or decay factor </w:t>
            </w:r>
            <w:r>
              <w:rPr>
                <w:color w:val="FF0000"/>
                <w:sz w:val="16"/>
                <w:szCs w:val="16"/>
              </w:rPr>
              <w:t>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3799A" w:rsidRPr="00E76D6F" w:rsidRDefault="0013799A" w:rsidP="008E2A7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</w:t>
            </w:r>
            <w:r w:rsidR="008E2A7C">
              <w:t xml:space="preserve"> </w:t>
            </w:r>
            <w:r w:rsidR="008E2A7C" w:rsidRPr="008E2A7C">
              <w:rPr>
                <w:color w:val="FF0000"/>
                <w:sz w:val="16"/>
                <w:szCs w:val="16"/>
              </w:rPr>
              <w:t>to determine the growth or decay factor using guided instruction</w:t>
            </w:r>
            <w:r>
              <w:rPr>
                <w:color w:val="FF0000"/>
                <w:sz w:val="16"/>
                <w:szCs w:val="16"/>
              </w:rPr>
              <w:t>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13799A" w:rsidRPr="00E76D6F" w:rsidRDefault="0013799A" w:rsidP="008E2A7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</w:t>
            </w:r>
            <w:r w:rsidR="007402BA">
              <w:rPr>
                <w:color w:val="FF0000"/>
                <w:sz w:val="16"/>
                <w:szCs w:val="16"/>
              </w:rPr>
              <w:t xml:space="preserve"> or by verbal desc</w:t>
            </w:r>
            <w:r w:rsidR="008E2A7C">
              <w:rPr>
                <w:color w:val="FF0000"/>
                <w:sz w:val="16"/>
                <w:szCs w:val="16"/>
              </w:rPr>
              <w:t>riptions (8.FA.2</w:t>
            </w:r>
            <w:r>
              <w:rPr>
                <w:color w:val="FF0000"/>
                <w:sz w:val="16"/>
                <w:szCs w:val="16"/>
              </w:rPr>
              <w:t xml:space="preserve">) </w:t>
            </w:r>
            <w:r w:rsidR="008E2A7C" w:rsidRPr="008E2A7C">
              <w:rPr>
                <w:color w:val="FF0000"/>
                <w:sz w:val="16"/>
                <w:szCs w:val="16"/>
              </w:rPr>
              <w:t>to determine the growth or decay factor using</w:t>
            </w:r>
            <w:r w:rsidR="00EC3517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EC3517">
              <w:rPr>
                <w:color w:val="FF0000"/>
                <w:sz w:val="16"/>
                <w:szCs w:val="16"/>
              </w:rPr>
              <w:t>using</w:t>
            </w:r>
            <w:proofErr w:type="spellEnd"/>
            <w:r w:rsidR="00EC3517">
              <w:rPr>
                <w:color w:val="FF0000"/>
                <w:sz w:val="16"/>
                <w:szCs w:val="16"/>
              </w:rPr>
              <w:t xml:space="preserve"> Front Row interactive math program.</w:t>
            </w:r>
          </w:p>
        </w:tc>
        <w:tc>
          <w:tcPr>
            <w:tcW w:w="2493" w:type="dxa"/>
          </w:tcPr>
          <w:p w:rsidR="0013799A" w:rsidRPr="00E76D6F" w:rsidRDefault="008E2A7C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Complete missing work-half day.</w:t>
            </w:r>
          </w:p>
        </w:tc>
      </w:tr>
      <w:tr w:rsidR="0013799A" w:rsidRPr="00E76D6F" w:rsidTr="00213CDF">
        <w:trPr>
          <w:trHeight w:val="1520"/>
        </w:trPr>
        <w:tc>
          <w:tcPr>
            <w:tcW w:w="1908" w:type="dxa"/>
          </w:tcPr>
          <w:p w:rsidR="0013799A" w:rsidRPr="00E76D6F" w:rsidRDefault="0013799A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3799A" w:rsidRPr="00E76D6F" w:rsidRDefault="0013799A" w:rsidP="005F673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13799A" w:rsidRPr="009C0F91" w:rsidRDefault="0013799A" w:rsidP="008E2A7C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="008E2A7C" w:rsidRPr="008E2A7C">
              <w:rPr>
                <w:color w:val="548DD4" w:themeColor="text2" w:themeTint="99"/>
                <w:sz w:val="16"/>
                <w:szCs w:val="16"/>
                <w:u w:val="single"/>
              </w:rPr>
              <w:t>to determine the growth or decay factor</w:t>
            </w:r>
            <w:r w:rsidR="008E2A7C" w:rsidRPr="008E2A7C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3799A" w:rsidRPr="009C0F91" w:rsidRDefault="0013799A" w:rsidP="008E2A7C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="008E2A7C" w:rsidRPr="008E2A7C">
              <w:rPr>
                <w:color w:val="548DD4" w:themeColor="text2" w:themeTint="99"/>
                <w:sz w:val="16"/>
                <w:szCs w:val="16"/>
                <w:u w:val="single"/>
              </w:rPr>
              <w:t>to determine the growth or decay factor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8E2A7C">
              <w:rPr>
                <w:color w:val="548DD4" w:themeColor="text2" w:themeTint="99"/>
                <w:sz w:val="16"/>
                <w:szCs w:val="16"/>
                <w:u w:val="single"/>
              </w:rPr>
              <w:t>partners</w:t>
            </w:r>
            <w:bookmarkStart w:id="0" w:name="_GoBack"/>
            <w:bookmarkEnd w:id="0"/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13799A" w:rsidRPr="009C0F91" w:rsidRDefault="0013799A" w:rsidP="00EC3517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EC3517" w:rsidRPr="00EC3517">
              <w:rPr>
                <w:color w:val="548DD4" w:themeColor="text2" w:themeTint="99"/>
                <w:sz w:val="16"/>
                <w:szCs w:val="16"/>
                <w:u w:val="single"/>
              </w:rPr>
              <w:t>Front Row interactive math program</w:t>
            </w:r>
            <w:r w:rsidR="00EC3517" w:rsidRPr="00EC3517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13799A" w:rsidRPr="009C0F91" w:rsidRDefault="0013799A" w:rsidP="005F6732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816A5" w:rsidRPr="00E76D6F" w:rsidTr="00213CDF">
        <w:tc>
          <w:tcPr>
            <w:tcW w:w="1908" w:type="dxa"/>
          </w:tcPr>
          <w:p w:rsidR="002816A5" w:rsidRPr="00E76D6F" w:rsidRDefault="002816A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2816A5" w:rsidRPr="00E76D6F" w:rsidRDefault="002816A5" w:rsidP="005F673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816A5" w:rsidRPr="00E76D6F" w:rsidRDefault="0013799A" w:rsidP="005F6732">
            <w:pPr>
              <w:rPr>
                <w:sz w:val="16"/>
                <w:szCs w:val="16"/>
              </w:rPr>
            </w:pPr>
            <w:r w:rsidRPr="0013799A">
              <w:rPr>
                <w:sz w:val="16"/>
                <w:szCs w:val="16"/>
              </w:rPr>
              <w:t>exponential growth and decay</w:t>
            </w:r>
            <w:r>
              <w:rPr>
                <w:sz w:val="16"/>
                <w:szCs w:val="16"/>
              </w:rPr>
              <w:t xml:space="preserve"> word problems</w:t>
            </w:r>
          </w:p>
        </w:tc>
        <w:tc>
          <w:tcPr>
            <w:tcW w:w="2160" w:type="dxa"/>
          </w:tcPr>
          <w:p w:rsidR="002816A5" w:rsidRPr="00E76D6F" w:rsidRDefault="009C0F9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growth and decay</w:t>
            </w:r>
            <w:r w:rsidR="0013799A">
              <w:rPr>
                <w:sz w:val="16"/>
                <w:szCs w:val="16"/>
              </w:rPr>
              <w:t xml:space="preserve"> word problems</w:t>
            </w:r>
          </w:p>
        </w:tc>
        <w:tc>
          <w:tcPr>
            <w:tcW w:w="2340" w:type="dxa"/>
          </w:tcPr>
          <w:p w:rsidR="002816A5" w:rsidRPr="00E76D6F" w:rsidRDefault="009C0F91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Growth and decay word problems</w:t>
            </w:r>
          </w:p>
        </w:tc>
        <w:tc>
          <w:tcPr>
            <w:tcW w:w="2493" w:type="dxa"/>
          </w:tcPr>
          <w:p w:rsidR="002816A5" w:rsidRPr="00E76D6F" w:rsidRDefault="002816A5" w:rsidP="00F355DF">
            <w:pPr>
              <w:rPr>
                <w:sz w:val="16"/>
                <w:szCs w:val="16"/>
              </w:rPr>
            </w:pP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340" w:type="dxa"/>
          </w:tcPr>
          <w:p w:rsidR="00A117D3" w:rsidRPr="00E76D6F" w:rsidRDefault="00A117D3" w:rsidP="005A017A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493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</w:p>
        </w:tc>
      </w:tr>
      <w:tr w:rsidR="00A117D3" w:rsidRPr="00E76D6F" w:rsidTr="00827B64">
        <w:trPr>
          <w:trHeight w:val="1628"/>
        </w:trPr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117D3" w:rsidRPr="000C0018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66BC"/>
    <w:rsid w:val="0012773B"/>
    <w:rsid w:val="0013799A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219B"/>
    <w:rsid w:val="00226552"/>
    <w:rsid w:val="00253C51"/>
    <w:rsid w:val="002816A5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402BA"/>
    <w:rsid w:val="00750B6E"/>
    <w:rsid w:val="007963DA"/>
    <w:rsid w:val="007B4379"/>
    <w:rsid w:val="007E7430"/>
    <w:rsid w:val="008024E1"/>
    <w:rsid w:val="0081460C"/>
    <w:rsid w:val="00827B64"/>
    <w:rsid w:val="00844E4B"/>
    <w:rsid w:val="00855600"/>
    <w:rsid w:val="008B3EDD"/>
    <w:rsid w:val="008C3AD4"/>
    <w:rsid w:val="008D1632"/>
    <w:rsid w:val="008D355D"/>
    <w:rsid w:val="008E2A7C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B7F66"/>
    <w:rsid w:val="009C0F91"/>
    <w:rsid w:val="009C72B0"/>
    <w:rsid w:val="009E6635"/>
    <w:rsid w:val="00A117D3"/>
    <w:rsid w:val="00A40FD7"/>
    <w:rsid w:val="00A451DD"/>
    <w:rsid w:val="00A47ADD"/>
    <w:rsid w:val="00A50762"/>
    <w:rsid w:val="00A55AEF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3517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003A-9908-4BB5-9005-338A48F6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2016-05-23T23:34:00Z</cp:lastPrinted>
  <dcterms:created xsi:type="dcterms:W3CDTF">2016-05-26T17:46:00Z</dcterms:created>
  <dcterms:modified xsi:type="dcterms:W3CDTF">2016-05-26T17:46:00Z</dcterms:modified>
</cp:coreProperties>
</file>